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noProof/>
          <w:sz w:val="24"/>
          <w:szCs w:val="24"/>
          <w:lang w:val="es-ES" w:eastAsia="es-ES"/>
        </w:rPr>
        <w:drawing>
          <wp:inline distT="0" distB="0" distL="0" distR="0" wp14:anchorId="67401DA3" wp14:editId="21BDD454">
            <wp:extent cx="1200150" cy="304800"/>
            <wp:effectExtent l="0" t="0" r="0" b="0"/>
            <wp:docPr id="4" name="Imagen 2" descr="http://www.caretas.com.pe/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etas.com.pe/images/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304800"/>
                    </a:xfrm>
                    <a:prstGeom prst="rect">
                      <a:avLst/>
                    </a:prstGeom>
                    <a:noFill/>
                    <a:ln>
                      <a:noFill/>
                    </a:ln>
                  </pic:spPr>
                </pic:pic>
              </a:graphicData>
            </a:graphic>
          </wp:inline>
        </w:drawing>
      </w:r>
    </w:p>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b/>
          <w:bCs/>
          <w:sz w:val="24"/>
          <w:szCs w:val="24"/>
          <w:lang w:eastAsia="es-PE"/>
        </w:rPr>
        <w:t>Edición Nº 1662</w:t>
      </w:r>
    </w:p>
    <w:tbl>
      <w:tblPr>
        <w:tblW w:w="5000" w:type="pct"/>
        <w:tblCellSpacing w:w="0" w:type="dxa"/>
        <w:tblCellMar>
          <w:left w:w="0" w:type="dxa"/>
          <w:right w:w="0" w:type="dxa"/>
        </w:tblCellMar>
        <w:tblLook w:val="04A0" w:firstRow="1" w:lastRow="0" w:firstColumn="1" w:lastColumn="0" w:noHBand="0" w:noVBand="1"/>
      </w:tblPr>
      <w:tblGrid>
        <w:gridCol w:w="6452"/>
        <w:gridCol w:w="2386"/>
      </w:tblGrid>
      <w:tr w:rsidR="00984FFC" w:rsidRPr="00984FFC" w:rsidTr="00984FFC">
        <w:trPr>
          <w:tblCellSpacing w:w="0" w:type="dxa"/>
        </w:trPr>
        <w:tc>
          <w:tcPr>
            <w:tcW w:w="3650" w:type="pct"/>
            <w:vAlign w:val="bottom"/>
            <w:hideMark/>
          </w:tcPr>
          <w:p w:rsidR="00984FFC" w:rsidRPr="00984FFC" w:rsidRDefault="00D822AA" w:rsidP="00984FFC">
            <w:pPr>
              <w:spacing w:before="100" w:beforeAutospacing="1" w:after="100" w:afterAutospacing="1" w:line="240" w:lineRule="auto"/>
              <w:rPr>
                <w:rFonts w:ascii="Times New Roman" w:eastAsia="Times New Roman" w:hAnsi="Times New Roman" w:cs="Times New Roman"/>
                <w:sz w:val="24"/>
                <w:szCs w:val="24"/>
                <w:lang w:eastAsia="es-PE"/>
              </w:rPr>
            </w:pPr>
            <w:r>
              <w:rPr>
                <w:rFonts w:ascii="Arial" w:eastAsia="Times New Roman" w:hAnsi="Arial" w:cs="Arial"/>
                <w:b/>
                <w:bCs/>
                <w:sz w:val="24"/>
                <w:szCs w:val="24"/>
                <w:lang w:eastAsia="es-PE"/>
              </w:rPr>
              <w:t>A</w:t>
            </w:r>
            <w:r w:rsidR="00984FFC" w:rsidRPr="00984FFC">
              <w:rPr>
                <w:rFonts w:ascii="Arial" w:eastAsia="Times New Roman" w:hAnsi="Arial" w:cs="Arial"/>
                <w:b/>
                <w:bCs/>
                <w:sz w:val="24"/>
                <w:szCs w:val="24"/>
                <w:lang w:eastAsia="es-PE"/>
              </w:rPr>
              <w:t>RTICULO</w:t>
            </w:r>
          </w:p>
        </w:tc>
        <w:tc>
          <w:tcPr>
            <w:tcW w:w="1350" w:type="pct"/>
            <w:vAlign w:val="bottom"/>
            <w:hideMark/>
          </w:tcPr>
          <w:p w:rsidR="00984FFC" w:rsidRPr="00984FFC" w:rsidRDefault="00984FFC" w:rsidP="00984FFC">
            <w:pPr>
              <w:spacing w:after="0" w:line="240" w:lineRule="auto"/>
              <w:jc w:val="right"/>
              <w:rPr>
                <w:rFonts w:ascii="Times New Roman" w:eastAsia="Times New Roman" w:hAnsi="Times New Roman" w:cs="Times New Roman"/>
                <w:sz w:val="24"/>
                <w:szCs w:val="24"/>
                <w:lang w:eastAsia="es-PE"/>
              </w:rPr>
            </w:pPr>
            <w:r w:rsidRPr="00984FFC">
              <w:rPr>
                <w:rFonts w:ascii="Arial" w:eastAsia="Times New Roman" w:hAnsi="Arial" w:cs="Arial"/>
                <w:sz w:val="15"/>
                <w:szCs w:val="15"/>
                <w:lang w:eastAsia="es-PE"/>
              </w:rPr>
              <w:t>22 de marzo de 2001</w:t>
            </w:r>
          </w:p>
        </w:tc>
      </w:tr>
    </w:tbl>
    <w:p w:rsidR="00984FFC" w:rsidRPr="00984FFC" w:rsidRDefault="00984FFC" w:rsidP="00984FFC">
      <w:pPr>
        <w:spacing w:after="0" w:line="240" w:lineRule="auto"/>
        <w:rPr>
          <w:rFonts w:ascii="Times New Roman" w:eastAsia="Times New Roman" w:hAnsi="Times New Roman" w:cs="Times New Roman"/>
          <w:vanish/>
          <w:sz w:val="24"/>
          <w:szCs w:val="24"/>
          <w:lang w:eastAsia="es-PE"/>
        </w:rPr>
      </w:pPr>
    </w:p>
    <w:tbl>
      <w:tblPr>
        <w:tblW w:w="5000" w:type="pct"/>
        <w:tblCellSpacing w:w="0" w:type="dxa"/>
        <w:shd w:val="clear" w:color="auto" w:fill="C60B27"/>
        <w:tblCellMar>
          <w:left w:w="0" w:type="dxa"/>
          <w:right w:w="0" w:type="dxa"/>
        </w:tblCellMar>
        <w:tblLook w:val="04A0" w:firstRow="1" w:lastRow="0" w:firstColumn="1" w:lastColumn="0" w:noHBand="0" w:noVBand="1"/>
      </w:tblPr>
      <w:tblGrid>
        <w:gridCol w:w="8838"/>
      </w:tblGrid>
      <w:tr w:rsidR="00984FFC" w:rsidRPr="00984FFC" w:rsidTr="00984FFC">
        <w:trPr>
          <w:tblCellSpacing w:w="0" w:type="dxa"/>
        </w:trPr>
        <w:tc>
          <w:tcPr>
            <w:tcW w:w="1250" w:type="pct"/>
            <w:shd w:val="clear" w:color="auto" w:fill="C60B27"/>
            <w:vAlign w:val="center"/>
            <w:hideMark/>
          </w:tcPr>
          <w:p w:rsidR="00984FFC" w:rsidRPr="00984FFC" w:rsidRDefault="00984FFC" w:rsidP="00984FFC">
            <w:pPr>
              <w:spacing w:after="0"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noProof/>
                <w:color w:val="0000FF"/>
                <w:sz w:val="24"/>
                <w:szCs w:val="24"/>
                <w:lang w:val="es-ES" w:eastAsia="es-ES"/>
              </w:rPr>
              <w:drawing>
                <wp:inline distT="0" distB="0" distL="0" distR="0" wp14:anchorId="0A642B95" wp14:editId="3FE89E24">
                  <wp:extent cx="238125" cy="47625"/>
                  <wp:effectExtent l="0" t="0" r="0" b="0"/>
                  <wp:docPr id="11" name="Imagen 11" descr="http://www.caretas.com.pe/images/space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retas.com.pe/images/spacer.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 cy="47625"/>
                          </a:xfrm>
                          <a:prstGeom prst="rect">
                            <a:avLst/>
                          </a:prstGeom>
                          <a:noFill/>
                          <a:ln>
                            <a:noFill/>
                          </a:ln>
                        </pic:spPr>
                      </pic:pic>
                    </a:graphicData>
                  </a:graphic>
                </wp:inline>
              </w:drawing>
            </w:r>
          </w:p>
        </w:tc>
      </w:tr>
    </w:tbl>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b/>
          <w:bCs/>
          <w:color w:val="E10000"/>
          <w:sz w:val="72"/>
          <w:szCs w:val="72"/>
          <w:lang w:eastAsia="es-PE"/>
        </w:rPr>
        <w:t>¿Cómo Murió 'TITO'?</w:t>
      </w:r>
      <w:r w:rsidRPr="00984FFC">
        <w:rPr>
          <w:rFonts w:ascii="Times New Roman" w:eastAsia="Times New Roman" w:hAnsi="Times New Roman" w:cs="Times New Roman"/>
          <w:b/>
          <w:bCs/>
          <w:color w:val="E10000"/>
          <w:sz w:val="72"/>
          <w:szCs w:val="72"/>
          <w:lang w:eastAsia="es-PE"/>
        </w:rPr>
        <w:br/>
      </w:r>
      <w:r w:rsidRPr="00984FFC">
        <w:rPr>
          <w:rFonts w:ascii="Times New Roman" w:eastAsia="Times New Roman" w:hAnsi="Times New Roman" w:cs="Times New Roman"/>
          <w:b/>
          <w:bCs/>
          <w:i/>
          <w:iCs/>
          <w:sz w:val="24"/>
          <w:szCs w:val="24"/>
          <w:lang w:eastAsia="es-PE"/>
        </w:rPr>
        <w:t xml:space="preserve">La investigación forense sobre los emerretistas muertos en la residencia del embajador </w:t>
      </w:r>
      <w:proofErr w:type="spellStart"/>
      <w:r w:rsidRPr="00984FFC">
        <w:rPr>
          <w:rFonts w:ascii="Times New Roman" w:eastAsia="Times New Roman" w:hAnsi="Times New Roman" w:cs="Times New Roman"/>
          <w:b/>
          <w:bCs/>
          <w:i/>
          <w:iCs/>
          <w:sz w:val="24"/>
          <w:szCs w:val="24"/>
          <w:lang w:eastAsia="es-PE"/>
        </w:rPr>
        <w:t>Aoki</w:t>
      </w:r>
      <w:proofErr w:type="spellEnd"/>
      <w:r w:rsidRPr="00984FFC">
        <w:rPr>
          <w:rFonts w:ascii="Times New Roman" w:eastAsia="Times New Roman" w:hAnsi="Times New Roman" w:cs="Times New Roman"/>
          <w:b/>
          <w:bCs/>
          <w:i/>
          <w:iCs/>
          <w:sz w:val="24"/>
          <w:szCs w:val="24"/>
          <w:lang w:eastAsia="es-PE"/>
        </w:rPr>
        <w:t xml:space="preserve"> se va centrando en Eduardo Cruz Sánchez `Tito'.</w:t>
      </w:r>
    </w:p>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Arial" w:eastAsia="Times New Roman" w:hAnsi="Arial" w:cs="Arial"/>
          <w:b/>
          <w:bCs/>
          <w:sz w:val="20"/>
          <w:szCs w:val="20"/>
          <w:lang w:eastAsia="es-PE"/>
        </w:rPr>
        <w:t xml:space="preserve">Pasan los días y crece la controversia en torno a lo ocurrido el 22 de abril de 1997, durante la operación Chavín de </w:t>
      </w:r>
      <w:proofErr w:type="spellStart"/>
      <w:r w:rsidRPr="00984FFC">
        <w:rPr>
          <w:rFonts w:ascii="Arial" w:eastAsia="Times New Roman" w:hAnsi="Arial" w:cs="Arial"/>
          <w:b/>
          <w:bCs/>
          <w:sz w:val="20"/>
          <w:szCs w:val="20"/>
          <w:lang w:eastAsia="es-PE"/>
        </w:rPr>
        <w:t>Huántar</w:t>
      </w:r>
      <w:proofErr w:type="spellEnd"/>
      <w:r w:rsidRPr="00984FFC">
        <w:rPr>
          <w:rFonts w:ascii="Arial" w:eastAsia="Times New Roman" w:hAnsi="Arial" w:cs="Arial"/>
          <w:b/>
          <w:bCs/>
          <w:sz w:val="20"/>
          <w:szCs w:val="20"/>
          <w:lang w:eastAsia="es-PE"/>
        </w:rPr>
        <w:t>. Tras las exhumaciones, los forenses ya investigan la causa de la muerte de los 14 emerretistas fallecidos en la acción y la atención se concentra en lo ocurrido con Eduardo Cruz Sánchez, "Tito", el segundo jefe del comando del MRTA. La solitaria bala que, al parecer, acabó con su vida es el punto alrededor del cual gira toda esta conflictiva historia.</w:t>
      </w:r>
    </w:p>
    <w:tbl>
      <w:tblPr>
        <w:tblpPr w:leftFromText="45" w:rightFromText="45" w:vertAnchor="text"/>
        <w:tblW w:w="3750" w:type="pct"/>
        <w:tblCellSpacing w:w="15" w:type="dxa"/>
        <w:tblCellMar>
          <w:top w:w="15" w:type="dxa"/>
          <w:left w:w="15" w:type="dxa"/>
          <w:bottom w:w="15" w:type="dxa"/>
          <w:right w:w="15" w:type="dxa"/>
        </w:tblCellMar>
        <w:tblLook w:val="04A0" w:firstRow="1" w:lastRow="0" w:firstColumn="1" w:lastColumn="0" w:noHBand="0" w:noVBand="1"/>
      </w:tblPr>
      <w:tblGrid>
        <w:gridCol w:w="6696"/>
      </w:tblGrid>
      <w:tr w:rsidR="00984FFC" w:rsidRPr="00984FFC" w:rsidTr="00984FFC">
        <w:trPr>
          <w:trHeight w:val="1395"/>
          <w:tblCellSpacing w:w="15" w:type="dxa"/>
        </w:trPr>
        <w:tc>
          <w:tcPr>
            <w:tcW w:w="0" w:type="auto"/>
            <w:hideMark/>
          </w:tcPr>
          <w:p w:rsidR="00984FFC" w:rsidRPr="00984FFC" w:rsidRDefault="00984FFC" w:rsidP="00984FFC">
            <w:pPr>
              <w:spacing w:after="0"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i/>
                <w:iCs/>
                <w:noProof/>
                <w:color w:val="0000FF"/>
                <w:sz w:val="24"/>
                <w:szCs w:val="24"/>
                <w:lang w:val="es-ES" w:eastAsia="es-ES"/>
              </w:rPr>
              <w:drawing>
                <wp:inline distT="0" distB="0" distL="0" distR="0" wp14:anchorId="4068A930" wp14:editId="0A2F5FA5">
                  <wp:extent cx="1466850" cy="1123950"/>
                  <wp:effectExtent l="0" t="0" r="0" b="0"/>
                  <wp:docPr id="12" name="Imagen 12" descr="http://www.caretas.com.pe/2001/1662/web/tito/76-1-c.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aretas.com.pe/2001/1662/web/tito/76-1-c.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123950"/>
                          </a:xfrm>
                          <a:prstGeom prst="rect">
                            <a:avLst/>
                          </a:prstGeom>
                          <a:noFill/>
                          <a:ln>
                            <a:noFill/>
                          </a:ln>
                        </pic:spPr>
                      </pic:pic>
                    </a:graphicData>
                  </a:graphic>
                </wp:inline>
              </w:drawing>
            </w:r>
            <w:r w:rsidRPr="00984FFC">
              <w:rPr>
                <w:rFonts w:ascii="Arial" w:eastAsia="Times New Roman" w:hAnsi="Arial" w:cs="Arial"/>
                <w:b/>
                <w:bCs/>
                <w:color w:val="E10000"/>
                <w:sz w:val="20"/>
                <w:szCs w:val="20"/>
                <w:lang w:eastAsia="es-PE"/>
              </w:rPr>
              <w:t> </w:t>
            </w:r>
            <w:r w:rsidRPr="00984FFC">
              <w:rPr>
                <w:rFonts w:ascii="Times New Roman" w:eastAsia="Times New Roman" w:hAnsi="Times New Roman" w:cs="Times New Roman"/>
                <w:b/>
                <w:bCs/>
                <w:i/>
                <w:iCs/>
                <w:noProof/>
                <w:color w:val="0000FF"/>
                <w:sz w:val="24"/>
                <w:szCs w:val="24"/>
                <w:lang w:val="es-ES" w:eastAsia="es-ES"/>
              </w:rPr>
              <w:drawing>
                <wp:inline distT="0" distB="0" distL="0" distR="0" wp14:anchorId="5675022D" wp14:editId="61E14BE4">
                  <wp:extent cx="1590675" cy="1123950"/>
                  <wp:effectExtent l="0" t="0" r="9525" b="0"/>
                  <wp:docPr id="13" name="Imagen 13" descr="http://www.caretas.com.pe/2001/1662/web/tito/76-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aretas.com.pe/2001/1662/web/tito/76-2-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123950"/>
                          </a:xfrm>
                          <a:prstGeom prst="rect">
                            <a:avLst/>
                          </a:prstGeom>
                          <a:noFill/>
                          <a:ln>
                            <a:noFill/>
                          </a:ln>
                        </pic:spPr>
                      </pic:pic>
                    </a:graphicData>
                  </a:graphic>
                </wp:inline>
              </w:drawing>
            </w:r>
          </w:p>
        </w:tc>
      </w:tr>
      <w:tr w:rsidR="00984FFC" w:rsidRPr="00984FFC" w:rsidTr="00984FFC">
        <w:trPr>
          <w:trHeight w:val="510"/>
          <w:tblCellSpacing w:w="15" w:type="dxa"/>
        </w:trPr>
        <w:tc>
          <w:tcPr>
            <w:tcW w:w="0" w:type="auto"/>
            <w:hideMark/>
          </w:tcPr>
          <w:p w:rsidR="00984FFC" w:rsidRPr="00984FFC" w:rsidRDefault="00984FFC" w:rsidP="00984FFC">
            <w:pPr>
              <w:spacing w:after="0" w:line="240" w:lineRule="auto"/>
              <w:rPr>
                <w:rFonts w:ascii="Times New Roman" w:eastAsia="Times New Roman" w:hAnsi="Times New Roman" w:cs="Times New Roman"/>
                <w:sz w:val="24"/>
                <w:szCs w:val="24"/>
                <w:lang w:eastAsia="es-PE"/>
              </w:rPr>
            </w:pPr>
            <w:r w:rsidRPr="00984FFC">
              <w:rPr>
                <w:rFonts w:ascii="Arial" w:eastAsia="Times New Roman" w:hAnsi="Arial" w:cs="Arial"/>
                <w:color w:val="E10000"/>
                <w:sz w:val="20"/>
                <w:szCs w:val="20"/>
                <w:lang w:eastAsia="es-PE"/>
              </w:rPr>
              <w:t>Los emerretistas en el pleno manejo de la situación al interior de la residencia, en el verano de 1997. Las exhumaciones de sus cuerpos han abierto una terrible Caja de Pandora.</w:t>
            </w:r>
          </w:p>
        </w:tc>
      </w:tr>
    </w:tbl>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b/>
          <w:bCs/>
          <w:sz w:val="24"/>
          <w:szCs w:val="24"/>
          <w:lang w:eastAsia="es-PE"/>
        </w:rPr>
        <w:t>S</w:t>
      </w:r>
      <w:r w:rsidRPr="00984FFC">
        <w:rPr>
          <w:rFonts w:ascii="Times New Roman" w:eastAsia="Times New Roman" w:hAnsi="Times New Roman" w:cs="Times New Roman"/>
          <w:sz w:val="24"/>
          <w:szCs w:val="24"/>
          <w:lang w:eastAsia="es-PE"/>
        </w:rPr>
        <w:t xml:space="preserve">ON días extenuantes y tensos en los lúgubres ambientes de la Morgue Central de Lima. Desde el lunes 19, los 10 antropólogos forenses encargados de investigar la presunta ejecución extrajudicial de algunos miembros del MRTA, durante la operación Chavín de </w:t>
      </w:r>
      <w:proofErr w:type="spellStart"/>
      <w:r w:rsidRPr="00984FFC">
        <w:rPr>
          <w:rFonts w:ascii="Times New Roman" w:eastAsia="Times New Roman" w:hAnsi="Times New Roman" w:cs="Times New Roman"/>
          <w:sz w:val="24"/>
          <w:szCs w:val="24"/>
          <w:lang w:eastAsia="es-PE"/>
        </w:rPr>
        <w:t>Huántar</w:t>
      </w:r>
      <w:proofErr w:type="spellEnd"/>
      <w:r w:rsidRPr="00984FFC">
        <w:rPr>
          <w:rFonts w:ascii="Times New Roman" w:eastAsia="Times New Roman" w:hAnsi="Times New Roman" w:cs="Times New Roman"/>
          <w:sz w:val="24"/>
          <w:szCs w:val="24"/>
          <w:lang w:eastAsia="es-PE"/>
        </w:rPr>
        <w:t>, examinan, con ojo de joyero, los restos exhumados la semana pasada en Lima.</w:t>
      </w:r>
    </w:p>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sz w:val="24"/>
          <w:szCs w:val="24"/>
          <w:lang w:eastAsia="es-PE"/>
        </w:rPr>
        <w:t>Al cierre de esta edición, el martes 20, habían explorado apenas 4 de los 14 cadáveres y, aunque mantienen un prudente hermetismo, ha trascendido que la piedra de toque para determinar si hubo un acto irregular pasa por saber cómo murió Eduardo Cruz Sánchez, el subversivo conocido como "Tito".</w:t>
      </w:r>
    </w:p>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sz w:val="24"/>
          <w:szCs w:val="24"/>
          <w:lang w:eastAsia="es-PE"/>
        </w:rPr>
        <w:t>La bala que, al parecer, atravesó su cerebro -algo ya determinado por la necropsia hecha en el Hospital de Policía- configura un acto extraño, sobre el cual discurriría parte de la investigación. Si los miembros del EPAF (Equipo Peruano de Antropología Forense) corroboran esto, la acusación judicial podría prosperar.</w:t>
      </w:r>
    </w:p>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sz w:val="24"/>
          <w:szCs w:val="24"/>
          <w:lang w:eastAsia="es-PE"/>
        </w:rPr>
        <w:t>¿Por qué? Los exámenes están aún en marcha, pero hay indicios de que dicho disparo habría entrado por el mentón, desde un ángulo difícil, y habría destrozado la parte posterior de la masa encefálica de "Tito". Esto podría haber implicado un tiro cercano, algo muy distinto al fuego graneado que recibieron el resto de subversivos.</w:t>
      </w:r>
    </w:p>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sz w:val="24"/>
          <w:szCs w:val="24"/>
          <w:lang w:eastAsia="es-PE"/>
        </w:rPr>
        <w:lastRenderedPageBreak/>
        <w:t>Es prematuro afirmarlo, pero otras versiones surgidas esta semana abonan las sospechas en torno a la muerte del número dos del MRTA en el momento del secuestro. Una de ellas, esencial, es la ofrecida esta semana por el general PNP Máximo Rivera Díaz, ex rehén y entonces jefe de la DINCOTE.</w:t>
      </w:r>
    </w:p>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sz w:val="24"/>
          <w:szCs w:val="24"/>
          <w:lang w:eastAsia="es-PE"/>
        </w:rPr>
        <w:t xml:space="preserve">Rivera ha dado crédito a la versión de </w:t>
      </w:r>
      <w:proofErr w:type="spellStart"/>
      <w:r w:rsidRPr="00984FFC">
        <w:rPr>
          <w:rFonts w:ascii="Times New Roman" w:eastAsia="Times New Roman" w:hAnsi="Times New Roman" w:cs="Times New Roman"/>
          <w:sz w:val="24"/>
          <w:szCs w:val="24"/>
          <w:lang w:eastAsia="es-PE"/>
        </w:rPr>
        <w:t>Hidetaka</w:t>
      </w:r>
      <w:proofErr w:type="spellEnd"/>
      <w:r w:rsidRPr="00984FFC">
        <w:rPr>
          <w:rFonts w:ascii="Times New Roman" w:eastAsia="Times New Roman" w:hAnsi="Times New Roman" w:cs="Times New Roman"/>
          <w:sz w:val="24"/>
          <w:szCs w:val="24"/>
          <w:lang w:eastAsia="es-PE"/>
        </w:rPr>
        <w:t xml:space="preserve"> </w:t>
      </w:r>
      <w:proofErr w:type="spellStart"/>
      <w:r w:rsidRPr="00984FFC">
        <w:rPr>
          <w:rFonts w:ascii="Times New Roman" w:eastAsia="Times New Roman" w:hAnsi="Times New Roman" w:cs="Times New Roman"/>
          <w:sz w:val="24"/>
          <w:szCs w:val="24"/>
          <w:lang w:eastAsia="es-PE"/>
        </w:rPr>
        <w:t>Ogura</w:t>
      </w:r>
      <w:proofErr w:type="spellEnd"/>
      <w:r w:rsidRPr="00984FFC">
        <w:rPr>
          <w:rFonts w:ascii="Times New Roman" w:eastAsia="Times New Roman" w:hAnsi="Times New Roman" w:cs="Times New Roman"/>
          <w:sz w:val="24"/>
          <w:szCs w:val="24"/>
          <w:lang w:eastAsia="es-PE"/>
        </w:rPr>
        <w:t>, acerca de la presunta ejecución de rendidos, pero no, como han señalado otros medios, porque también vio a "Tito" tendido en el piso y amarrado. En realidad él salió por otro lado durante el rescate, sólo que ha reconocido que recogió varias versiones coincidentes con la del diplomático japonés.</w:t>
      </w:r>
    </w:p>
    <w:p w:rsidR="00984FFC" w:rsidRPr="00984FFC" w:rsidRDefault="00984FFC" w:rsidP="00984FFC">
      <w:pPr>
        <w:spacing w:before="100" w:beforeAutospacing="1" w:after="240"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sz w:val="24"/>
          <w:szCs w:val="24"/>
          <w:lang w:eastAsia="es-PE"/>
        </w:rPr>
        <w:t xml:space="preserve">Una de ellas, explicó a CARETAS, la escuchó el mismo 22 de abril de 1997, varios minutos después de la operación Chavín de </w:t>
      </w:r>
      <w:proofErr w:type="spellStart"/>
      <w:r w:rsidRPr="00984FFC">
        <w:rPr>
          <w:rFonts w:ascii="Times New Roman" w:eastAsia="Times New Roman" w:hAnsi="Times New Roman" w:cs="Times New Roman"/>
          <w:sz w:val="24"/>
          <w:szCs w:val="24"/>
          <w:lang w:eastAsia="es-PE"/>
        </w:rPr>
        <w:t>Huántar</w:t>
      </w:r>
      <w:proofErr w:type="spellEnd"/>
      <w:r w:rsidRPr="00984FFC">
        <w:rPr>
          <w:rFonts w:ascii="Times New Roman" w:eastAsia="Times New Roman" w:hAnsi="Times New Roman" w:cs="Times New Roman"/>
          <w:sz w:val="24"/>
          <w:szCs w:val="24"/>
          <w:lang w:eastAsia="es-PE"/>
        </w:rPr>
        <w:t>, en un ambiente del Hospital Militar, cuando varios rehenes liberados comentaban con angustia la resaca de lo vivido. "¿Cuántos muertos? ¿Cuántos muertos?", escuchó que preguntaban en medio del alboroto.</w:t>
      </w:r>
    </w:p>
    <w:tbl>
      <w:tblPr>
        <w:tblpPr w:leftFromText="45" w:rightFromText="45" w:vertAnchor="text" w:tblpXSpec="right" w:tblpYSpec="center"/>
        <w:tblW w:w="1850" w:type="pct"/>
        <w:tblCellSpacing w:w="15" w:type="dxa"/>
        <w:tblCellMar>
          <w:top w:w="15" w:type="dxa"/>
          <w:left w:w="15" w:type="dxa"/>
          <w:bottom w:w="15" w:type="dxa"/>
          <w:right w:w="15" w:type="dxa"/>
        </w:tblCellMar>
        <w:tblLook w:val="04A0" w:firstRow="1" w:lastRow="0" w:firstColumn="1" w:lastColumn="0" w:noHBand="0" w:noVBand="1"/>
      </w:tblPr>
      <w:tblGrid>
        <w:gridCol w:w="3303"/>
      </w:tblGrid>
      <w:tr w:rsidR="00984FFC" w:rsidRPr="00984FFC" w:rsidTr="00984FFC">
        <w:trPr>
          <w:trHeight w:val="1935"/>
          <w:tblCellSpacing w:w="15" w:type="dxa"/>
        </w:trPr>
        <w:tc>
          <w:tcPr>
            <w:tcW w:w="0" w:type="auto"/>
            <w:hideMark/>
          </w:tcPr>
          <w:p w:rsidR="00984FFC" w:rsidRPr="00984FFC" w:rsidRDefault="00984FFC" w:rsidP="00984FFC">
            <w:pPr>
              <w:spacing w:after="0"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i/>
                <w:iCs/>
                <w:noProof/>
                <w:color w:val="0000FF"/>
                <w:sz w:val="24"/>
                <w:szCs w:val="24"/>
                <w:lang w:val="es-ES" w:eastAsia="es-ES"/>
              </w:rPr>
              <w:drawing>
                <wp:inline distT="0" distB="0" distL="0" distR="0" wp14:anchorId="423C44D4" wp14:editId="1D2943A6">
                  <wp:extent cx="1476375" cy="1123950"/>
                  <wp:effectExtent l="0" t="0" r="9525" b="0"/>
                  <wp:docPr id="14" name="Imagen 14" descr="http://www.caretas.com.pe/2001/1662/web/tito/77-1-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aretas.com.pe/2001/1662/web/tito/77-1-c.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123950"/>
                          </a:xfrm>
                          <a:prstGeom prst="rect">
                            <a:avLst/>
                          </a:prstGeom>
                          <a:noFill/>
                          <a:ln>
                            <a:noFill/>
                          </a:ln>
                        </pic:spPr>
                      </pic:pic>
                    </a:graphicData>
                  </a:graphic>
                </wp:inline>
              </w:drawing>
            </w:r>
          </w:p>
        </w:tc>
      </w:tr>
    </w:tbl>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sz w:val="24"/>
          <w:szCs w:val="24"/>
          <w:lang w:eastAsia="es-PE"/>
        </w:rPr>
        <w:t xml:space="preserve">"Parece que sólo el doctor </w:t>
      </w:r>
      <w:proofErr w:type="spellStart"/>
      <w:r w:rsidRPr="00984FFC">
        <w:rPr>
          <w:rFonts w:ascii="Times New Roman" w:eastAsia="Times New Roman" w:hAnsi="Times New Roman" w:cs="Times New Roman"/>
          <w:sz w:val="24"/>
          <w:szCs w:val="24"/>
          <w:lang w:eastAsia="es-PE"/>
        </w:rPr>
        <w:t>Giusti</w:t>
      </w:r>
      <w:proofErr w:type="spellEnd"/>
      <w:r w:rsidRPr="00984FFC">
        <w:rPr>
          <w:rFonts w:ascii="Times New Roman" w:eastAsia="Times New Roman" w:hAnsi="Times New Roman" w:cs="Times New Roman"/>
          <w:sz w:val="24"/>
          <w:szCs w:val="24"/>
          <w:lang w:eastAsia="es-PE"/>
        </w:rPr>
        <w:t>", habría respondido alguien, para, a continuación agregar que "a `Tito' lo agarraron vivo". El general PNP dice no recordar exactamente quién lo dijo, aunque sí que fue vox populi en ese instante de indescriptible angustia y que luego volvió a escuchar esa versión en diversas reuniones sostenidas con los ex rehenes.</w:t>
      </w:r>
    </w:p>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sz w:val="24"/>
          <w:szCs w:val="24"/>
          <w:lang w:eastAsia="es-PE"/>
        </w:rPr>
        <w:t>El ex jefe de la DINCOTE también afirma que no todos los emerretistas dispararon a matar a los rehenes. "Cuando empezó el rescate -cuenta-, `Leo' (un emerretista) entró al cuarto y nos dijo: "tírense al suelo, nomás, no levanten la cabeza'". Asimismo, señala haber escuchado la versión de que "Tito" pretendió huir confundido entre los magistrados.</w:t>
      </w:r>
    </w:p>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sz w:val="24"/>
          <w:szCs w:val="24"/>
          <w:lang w:eastAsia="es-PE"/>
        </w:rPr>
        <w:t>Curiosamente, esta semana CARETAS recogió, de dos fuentes sumamente confiables que prefirieron el anonimato, una versión similar que, de confirmarse, provocaría aún más controversia. Según ella, "Tito", sumido en la desesperación y ya viéndose perdido, le habría pedido a Alipio Montes de Oca y a otro vocal supremo que le ayuden a salir con ellos.</w:t>
      </w:r>
    </w:p>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sz w:val="24"/>
          <w:szCs w:val="24"/>
          <w:lang w:eastAsia="es-PE"/>
        </w:rPr>
        <w:t>Estos le habrían sugerido que se quite rápidamente el uniforme del MRTA, para que no sea reconocido, e incluso Montes de Oca le habría prestado una camisa. Así, salieron todos a rastras, pero `Tito' fue reconocido en el trayecto. No queda claro si alguien delató al subversivo o si simplemente algún comando se dio cuenta de su presencia.</w:t>
      </w:r>
    </w:p>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sz w:val="24"/>
          <w:szCs w:val="24"/>
          <w:lang w:eastAsia="es-PE"/>
        </w:rPr>
        <w:t xml:space="preserve">Lo curioso es que esta versión coincide en cierto modo con la de </w:t>
      </w:r>
      <w:proofErr w:type="spellStart"/>
      <w:r w:rsidRPr="00984FFC">
        <w:rPr>
          <w:rFonts w:ascii="Times New Roman" w:eastAsia="Times New Roman" w:hAnsi="Times New Roman" w:cs="Times New Roman"/>
          <w:sz w:val="24"/>
          <w:szCs w:val="24"/>
          <w:lang w:eastAsia="es-PE"/>
        </w:rPr>
        <w:t>Ogura</w:t>
      </w:r>
      <w:proofErr w:type="spellEnd"/>
      <w:r w:rsidRPr="00984FFC">
        <w:rPr>
          <w:rFonts w:ascii="Times New Roman" w:eastAsia="Times New Roman" w:hAnsi="Times New Roman" w:cs="Times New Roman"/>
          <w:sz w:val="24"/>
          <w:szCs w:val="24"/>
          <w:lang w:eastAsia="es-PE"/>
        </w:rPr>
        <w:t>, cuando éste señala que `Tito' estaba amarrado, boca abajo y vestido sólo con un short y un polo de manga corta, es decir sin el típico uniforme emerretista. Después, coinciden ambas versiones, fue llevado de vuelta a la residencia por un comando y luego apareció muerto.</w:t>
      </w:r>
    </w:p>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sz w:val="24"/>
          <w:szCs w:val="24"/>
          <w:lang w:eastAsia="es-PE"/>
        </w:rPr>
        <w:t xml:space="preserve">Algunos rehenes, de acuerdo a esta versión, entre ellos </w:t>
      </w:r>
      <w:proofErr w:type="spellStart"/>
      <w:r w:rsidRPr="00984FFC">
        <w:rPr>
          <w:rFonts w:ascii="Times New Roman" w:eastAsia="Times New Roman" w:hAnsi="Times New Roman" w:cs="Times New Roman"/>
          <w:sz w:val="24"/>
          <w:szCs w:val="24"/>
          <w:lang w:eastAsia="es-PE"/>
        </w:rPr>
        <w:t>Ogura</w:t>
      </w:r>
      <w:proofErr w:type="spellEnd"/>
      <w:r w:rsidRPr="00984FFC">
        <w:rPr>
          <w:rFonts w:ascii="Times New Roman" w:eastAsia="Times New Roman" w:hAnsi="Times New Roman" w:cs="Times New Roman"/>
          <w:sz w:val="24"/>
          <w:szCs w:val="24"/>
          <w:lang w:eastAsia="es-PE"/>
        </w:rPr>
        <w:t xml:space="preserve">, se habrían sorprendido luego al saber que "Tito" también habría muerto. Pero aún más. El ex ministro de Agricultura </w:t>
      </w:r>
      <w:r w:rsidRPr="00984FFC">
        <w:rPr>
          <w:rFonts w:ascii="Times New Roman" w:eastAsia="Times New Roman" w:hAnsi="Times New Roman" w:cs="Times New Roman"/>
          <w:sz w:val="24"/>
          <w:szCs w:val="24"/>
          <w:lang w:eastAsia="es-PE"/>
        </w:rPr>
        <w:lastRenderedPageBreak/>
        <w:t xml:space="preserve">Rodolfo </w:t>
      </w:r>
      <w:proofErr w:type="spellStart"/>
      <w:r w:rsidRPr="00984FFC">
        <w:rPr>
          <w:rFonts w:ascii="Times New Roman" w:eastAsia="Times New Roman" w:hAnsi="Times New Roman" w:cs="Times New Roman"/>
          <w:sz w:val="24"/>
          <w:szCs w:val="24"/>
          <w:lang w:eastAsia="es-PE"/>
        </w:rPr>
        <w:t>Muñante</w:t>
      </w:r>
      <w:proofErr w:type="spellEnd"/>
      <w:r w:rsidRPr="00984FFC">
        <w:rPr>
          <w:rFonts w:ascii="Times New Roman" w:eastAsia="Times New Roman" w:hAnsi="Times New Roman" w:cs="Times New Roman"/>
          <w:sz w:val="24"/>
          <w:szCs w:val="24"/>
          <w:lang w:eastAsia="es-PE"/>
        </w:rPr>
        <w:t xml:space="preserve">, en una entrevista concedida 48 horas después del rescate a la periodista </w:t>
      </w:r>
      <w:proofErr w:type="spellStart"/>
      <w:r w:rsidRPr="00984FFC">
        <w:rPr>
          <w:rFonts w:ascii="Times New Roman" w:eastAsia="Times New Roman" w:hAnsi="Times New Roman" w:cs="Times New Roman"/>
          <w:sz w:val="24"/>
          <w:szCs w:val="24"/>
          <w:lang w:eastAsia="es-PE"/>
        </w:rPr>
        <w:t>Ineke</w:t>
      </w:r>
      <w:proofErr w:type="spellEnd"/>
      <w:r w:rsidRPr="00984FFC">
        <w:rPr>
          <w:rFonts w:ascii="Times New Roman" w:eastAsia="Times New Roman" w:hAnsi="Times New Roman" w:cs="Times New Roman"/>
          <w:sz w:val="24"/>
          <w:szCs w:val="24"/>
          <w:lang w:eastAsia="es-PE"/>
        </w:rPr>
        <w:t xml:space="preserve"> </w:t>
      </w:r>
      <w:proofErr w:type="spellStart"/>
      <w:r w:rsidRPr="00984FFC">
        <w:rPr>
          <w:rFonts w:ascii="Times New Roman" w:eastAsia="Times New Roman" w:hAnsi="Times New Roman" w:cs="Times New Roman"/>
          <w:sz w:val="24"/>
          <w:szCs w:val="24"/>
          <w:lang w:eastAsia="es-PE"/>
        </w:rPr>
        <w:t>Holt</w:t>
      </w:r>
      <w:proofErr w:type="spellEnd"/>
      <w:r w:rsidRPr="00984FFC">
        <w:rPr>
          <w:rFonts w:ascii="Times New Roman" w:eastAsia="Times New Roman" w:hAnsi="Times New Roman" w:cs="Times New Roman"/>
          <w:sz w:val="24"/>
          <w:szCs w:val="24"/>
          <w:lang w:eastAsia="es-PE"/>
        </w:rPr>
        <w:t xml:space="preserve"> del diario holandés De </w:t>
      </w:r>
      <w:proofErr w:type="spellStart"/>
      <w:r w:rsidRPr="00984FFC">
        <w:rPr>
          <w:rFonts w:ascii="Times New Roman" w:eastAsia="Times New Roman" w:hAnsi="Times New Roman" w:cs="Times New Roman"/>
          <w:sz w:val="24"/>
          <w:szCs w:val="24"/>
          <w:lang w:eastAsia="es-PE"/>
        </w:rPr>
        <w:t>Volkskrant</w:t>
      </w:r>
      <w:proofErr w:type="spellEnd"/>
      <w:r w:rsidRPr="00984FFC">
        <w:rPr>
          <w:rFonts w:ascii="Times New Roman" w:eastAsia="Times New Roman" w:hAnsi="Times New Roman" w:cs="Times New Roman"/>
          <w:sz w:val="24"/>
          <w:szCs w:val="24"/>
          <w:lang w:eastAsia="es-PE"/>
        </w:rPr>
        <w:t>, sostuvo algo difícil de olvidar.</w:t>
      </w:r>
    </w:p>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sz w:val="24"/>
          <w:szCs w:val="24"/>
          <w:lang w:eastAsia="es-PE"/>
        </w:rPr>
        <w:t xml:space="preserve">"En el cuarto de los jueces -habría declarado </w:t>
      </w:r>
      <w:proofErr w:type="spellStart"/>
      <w:r w:rsidRPr="00984FFC">
        <w:rPr>
          <w:rFonts w:ascii="Times New Roman" w:eastAsia="Times New Roman" w:hAnsi="Times New Roman" w:cs="Times New Roman"/>
          <w:sz w:val="24"/>
          <w:szCs w:val="24"/>
          <w:lang w:eastAsia="es-PE"/>
        </w:rPr>
        <w:t>Muñante</w:t>
      </w:r>
      <w:proofErr w:type="spellEnd"/>
      <w:r w:rsidRPr="00984FFC">
        <w:rPr>
          <w:rFonts w:ascii="Times New Roman" w:eastAsia="Times New Roman" w:hAnsi="Times New Roman" w:cs="Times New Roman"/>
          <w:sz w:val="24"/>
          <w:szCs w:val="24"/>
          <w:lang w:eastAsia="es-PE"/>
        </w:rPr>
        <w:t>- había un chico. `Me rindo, me rindo', gritaba. El intentó sacarse desesperadamente el armamento, el chaleco con granadas. Pero tenía tantas que no lo conseguía. Observé bien: él se entregó a los jueces...". ¿Se trataba de "Tito"? El ex ministro luego desmintió lo dicho, pero la duda quedó flotando.</w:t>
      </w:r>
    </w:p>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984FFC">
        <w:rPr>
          <w:rFonts w:ascii="Times New Roman" w:eastAsia="Times New Roman" w:hAnsi="Times New Roman" w:cs="Times New Roman"/>
          <w:sz w:val="24"/>
          <w:szCs w:val="24"/>
          <w:lang w:eastAsia="es-PE"/>
        </w:rPr>
        <w:t>Muñante</w:t>
      </w:r>
      <w:proofErr w:type="spellEnd"/>
      <w:r w:rsidRPr="00984FFC">
        <w:rPr>
          <w:rFonts w:ascii="Times New Roman" w:eastAsia="Times New Roman" w:hAnsi="Times New Roman" w:cs="Times New Roman"/>
          <w:sz w:val="24"/>
          <w:szCs w:val="24"/>
          <w:lang w:eastAsia="es-PE"/>
        </w:rPr>
        <w:t xml:space="preserve"> luego ha firmado el comunicado difundido el martes 20 por algunos ex rehenes -casi todos vinculados al régimen anterior-, en el que éstos, además de discrepar con </w:t>
      </w:r>
      <w:proofErr w:type="spellStart"/>
      <w:r w:rsidRPr="00984FFC">
        <w:rPr>
          <w:rFonts w:ascii="Times New Roman" w:eastAsia="Times New Roman" w:hAnsi="Times New Roman" w:cs="Times New Roman"/>
          <w:sz w:val="24"/>
          <w:szCs w:val="24"/>
          <w:lang w:eastAsia="es-PE"/>
        </w:rPr>
        <w:t>Ogura</w:t>
      </w:r>
      <w:proofErr w:type="spellEnd"/>
      <w:r w:rsidRPr="00984FFC">
        <w:rPr>
          <w:rFonts w:ascii="Times New Roman" w:eastAsia="Times New Roman" w:hAnsi="Times New Roman" w:cs="Times New Roman"/>
          <w:sz w:val="24"/>
          <w:szCs w:val="24"/>
          <w:lang w:eastAsia="es-PE"/>
        </w:rPr>
        <w:t>, señalan que el humo de las explosiones y el fuego cruzado "hacían imposible la visibilidad". Todo ha quedado nublado entonces, aunque no para la fiscal Flor de María Alva.</w:t>
      </w:r>
    </w:p>
    <w:p w:rsidR="00984FFC" w:rsidRPr="00984FFC" w:rsidRDefault="00984FFC" w:rsidP="00984FFC">
      <w:pPr>
        <w:spacing w:before="100" w:beforeAutospacing="1" w:after="240"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sz w:val="24"/>
          <w:szCs w:val="24"/>
          <w:lang w:eastAsia="es-PE"/>
        </w:rPr>
        <w:t xml:space="preserve">Esta semana, citó a su despacho a varios ex rehenes, entre ellos al almirante Luis </w:t>
      </w:r>
      <w:proofErr w:type="spellStart"/>
      <w:r w:rsidRPr="00984FFC">
        <w:rPr>
          <w:rFonts w:ascii="Times New Roman" w:eastAsia="Times New Roman" w:hAnsi="Times New Roman" w:cs="Times New Roman"/>
          <w:sz w:val="24"/>
          <w:szCs w:val="24"/>
          <w:lang w:eastAsia="es-PE"/>
        </w:rPr>
        <w:t>Giampietri</w:t>
      </w:r>
      <w:proofErr w:type="spellEnd"/>
      <w:r w:rsidRPr="00984FFC">
        <w:rPr>
          <w:rFonts w:ascii="Times New Roman" w:eastAsia="Times New Roman" w:hAnsi="Times New Roman" w:cs="Times New Roman"/>
          <w:sz w:val="24"/>
          <w:szCs w:val="24"/>
          <w:lang w:eastAsia="es-PE"/>
        </w:rPr>
        <w:t>, quien habría reiterado ante ella parte de lo que declaró en la edición anterior de CARETAS. La novedad, sin embargo, es que también habría citado a ex comandos que participaron en el asalto y por lo menos uno de ellos habría contado una historia hasta ahora escondida.</w:t>
      </w:r>
    </w:p>
    <w:tbl>
      <w:tblPr>
        <w:tblpPr w:leftFromText="45" w:rightFromText="45" w:vertAnchor="text"/>
        <w:tblW w:w="2050" w:type="pct"/>
        <w:tblCellSpacing w:w="15" w:type="dxa"/>
        <w:tblCellMar>
          <w:top w:w="15" w:type="dxa"/>
          <w:left w:w="15" w:type="dxa"/>
          <w:bottom w:w="15" w:type="dxa"/>
          <w:right w:w="15" w:type="dxa"/>
        </w:tblCellMar>
        <w:tblLook w:val="04A0" w:firstRow="1" w:lastRow="0" w:firstColumn="1" w:lastColumn="0" w:noHBand="0" w:noVBand="1"/>
      </w:tblPr>
      <w:tblGrid>
        <w:gridCol w:w="3660"/>
      </w:tblGrid>
      <w:tr w:rsidR="00984FFC" w:rsidRPr="00984FFC" w:rsidTr="00984FFC">
        <w:trPr>
          <w:trHeight w:val="1395"/>
          <w:tblCellSpacing w:w="15" w:type="dxa"/>
        </w:trPr>
        <w:tc>
          <w:tcPr>
            <w:tcW w:w="0" w:type="auto"/>
            <w:hideMark/>
          </w:tcPr>
          <w:p w:rsidR="00984FFC" w:rsidRPr="00984FFC" w:rsidRDefault="00984FFC" w:rsidP="00984FFC">
            <w:pPr>
              <w:spacing w:after="0"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i/>
                <w:iCs/>
                <w:noProof/>
                <w:color w:val="0000FF"/>
                <w:sz w:val="24"/>
                <w:szCs w:val="24"/>
                <w:lang w:val="es-ES" w:eastAsia="es-ES"/>
              </w:rPr>
              <w:drawing>
                <wp:inline distT="0" distB="0" distL="0" distR="0" wp14:anchorId="3941E00A" wp14:editId="2F3CB3C7">
                  <wp:extent cx="676275" cy="1123950"/>
                  <wp:effectExtent l="0" t="0" r="9525" b="0"/>
                  <wp:docPr id="15" name="Imagen 15" descr="http://www.caretas.com.pe/2001/1662/web/tito/78-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aretas.com.pe/2001/1662/web/tito/78-1-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1123950"/>
                          </a:xfrm>
                          <a:prstGeom prst="rect">
                            <a:avLst/>
                          </a:prstGeom>
                          <a:noFill/>
                          <a:ln>
                            <a:noFill/>
                          </a:ln>
                        </pic:spPr>
                      </pic:pic>
                    </a:graphicData>
                  </a:graphic>
                </wp:inline>
              </w:drawing>
            </w:r>
            <w:r w:rsidRPr="00984FFC">
              <w:rPr>
                <w:rFonts w:ascii="Arial" w:eastAsia="Times New Roman" w:hAnsi="Arial" w:cs="Arial"/>
                <w:b/>
                <w:bCs/>
                <w:color w:val="E10000"/>
                <w:sz w:val="20"/>
                <w:szCs w:val="20"/>
                <w:lang w:eastAsia="es-PE"/>
              </w:rPr>
              <w:t> </w:t>
            </w:r>
            <w:r w:rsidRPr="00984FFC">
              <w:rPr>
                <w:rFonts w:ascii="Times New Roman" w:eastAsia="Times New Roman" w:hAnsi="Times New Roman" w:cs="Times New Roman"/>
                <w:b/>
                <w:bCs/>
                <w:i/>
                <w:iCs/>
                <w:noProof/>
                <w:color w:val="0000FF"/>
                <w:sz w:val="24"/>
                <w:szCs w:val="24"/>
                <w:lang w:val="es-ES" w:eastAsia="es-ES"/>
              </w:rPr>
              <w:drawing>
                <wp:inline distT="0" distB="0" distL="0" distR="0" wp14:anchorId="46C9B275" wp14:editId="42D01230">
                  <wp:extent cx="857250" cy="1123950"/>
                  <wp:effectExtent l="0" t="0" r="0" b="0"/>
                  <wp:docPr id="16" name="Imagen 16" descr="http://www.caretas.com.pe/2001/1662/web/tito/79-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aretas.com.pe/2001/1662/web/tito/79-1-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1123950"/>
                          </a:xfrm>
                          <a:prstGeom prst="rect">
                            <a:avLst/>
                          </a:prstGeom>
                          <a:noFill/>
                          <a:ln>
                            <a:noFill/>
                          </a:ln>
                        </pic:spPr>
                      </pic:pic>
                    </a:graphicData>
                  </a:graphic>
                </wp:inline>
              </w:drawing>
            </w:r>
          </w:p>
        </w:tc>
      </w:tr>
      <w:tr w:rsidR="00984FFC" w:rsidRPr="00984FFC" w:rsidTr="00984FFC">
        <w:trPr>
          <w:trHeight w:val="510"/>
          <w:tblCellSpacing w:w="15" w:type="dxa"/>
        </w:trPr>
        <w:tc>
          <w:tcPr>
            <w:tcW w:w="0" w:type="auto"/>
            <w:hideMark/>
          </w:tcPr>
          <w:p w:rsidR="00984FFC" w:rsidRPr="00984FFC" w:rsidRDefault="00984FFC" w:rsidP="00984FFC">
            <w:pPr>
              <w:spacing w:after="0" w:line="240" w:lineRule="auto"/>
              <w:rPr>
                <w:rFonts w:ascii="Times New Roman" w:eastAsia="Times New Roman" w:hAnsi="Times New Roman" w:cs="Times New Roman"/>
                <w:sz w:val="24"/>
                <w:szCs w:val="24"/>
                <w:lang w:eastAsia="es-PE"/>
              </w:rPr>
            </w:pPr>
            <w:r w:rsidRPr="00984FFC">
              <w:rPr>
                <w:rFonts w:ascii="Arial" w:eastAsia="Times New Roman" w:hAnsi="Arial" w:cs="Arial"/>
                <w:color w:val="E10000"/>
                <w:sz w:val="20"/>
                <w:szCs w:val="20"/>
                <w:lang w:eastAsia="es-PE"/>
              </w:rPr>
              <w:t>Eduardo Cruz Sánchez, "Tito", en vida, junto a una estatua del inca Atahualpa en Cajamarca. Derecha: General PNP Máximo Rivera, ex rehén mostrando una foto de "Leo", uno de los emerretistas.</w:t>
            </w:r>
          </w:p>
        </w:tc>
      </w:tr>
    </w:tbl>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sz w:val="24"/>
          <w:szCs w:val="24"/>
          <w:lang w:eastAsia="es-PE"/>
        </w:rPr>
        <w:t xml:space="preserve">Según fuentes judiciales consultadas por CARETAS, uno de los comandos habría confirmado que cuando rescataban a los rehenes japoneses aparecieron dos emerretistas en ese cuarto, que era de </w:t>
      </w:r>
      <w:proofErr w:type="spellStart"/>
      <w:r w:rsidRPr="00984FFC">
        <w:rPr>
          <w:rFonts w:ascii="Times New Roman" w:eastAsia="Times New Roman" w:hAnsi="Times New Roman" w:cs="Times New Roman"/>
          <w:sz w:val="24"/>
          <w:szCs w:val="24"/>
          <w:lang w:eastAsia="es-PE"/>
        </w:rPr>
        <w:t>Ogura</w:t>
      </w:r>
      <w:proofErr w:type="spellEnd"/>
      <w:r w:rsidRPr="00984FFC">
        <w:rPr>
          <w:rFonts w:ascii="Times New Roman" w:eastAsia="Times New Roman" w:hAnsi="Times New Roman" w:cs="Times New Roman"/>
          <w:sz w:val="24"/>
          <w:szCs w:val="24"/>
          <w:lang w:eastAsia="es-PE"/>
        </w:rPr>
        <w:t xml:space="preserve"> y estaba contiguo al de los jueces. Estos habrían sido una de las mujeres, aquella a la que llamaban "La Gringa" (Melissa) y el joven conocido como "Dante".</w:t>
      </w:r>
    </w:p>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sz w:val="24"/>
          <w:szCs w:val="24"/>
          <w:lang w:eastAsia="es-PE"/>
        </w:rPr>
        <w:t>¿Qué ocurrió en realidad? Hay todavía mucho que investigar y, aun cuando los indicios van dibujando dudas alrededor de la muerte de "Tito", no debe olvidarse el hecho de que sí hubo un cruento enfrentamiento entre emerretistas y comandos, por lo menos parcialmente, que devino en la muerte del teniente Jiménez y el comandante Valer.</w:t>
      </w:r>
      <w:r w:rsidRPr="00984FFC">
        <w:rPr>
          <w:rFonts w:ascii="Times New Roman" w:eastAsia="Times New Roman" w:hAnsi="Times New Roman" w:cs="Times New Roman"/>
          <w:sz w:val="24"/>
          <w:szCs w:val="24"/>
          <w:lang w:eastAsia="es-PE"/>
        </w:rPr>
        <w:br/>
      </w:r>
      <w:r w:rsidRPr="00984FFC">
        <w:rPr>
          <w:rFonts w:ascii="Times New Roman" w:eastAsia="Times New Roman" w:hAnsi="Times New Roman" w:cs="Times New Roman"/>
          <w:sz w:val="24"/>
          <w:szCs w:val="24"/>
          <w:lang w:eastAsia="es-PE"/>
        </w:rPr>
        <w:br/>
        <w:t>Reconocer eso, sin embargo, no significa adherirse a la reacción destemplada y maliciosa del ex oficialismo, que está levantando el manido argumento del rebrote terrorista para bloquear cualquier investigación y para espetarle al actual gobierno su supuesto descuido. Con las exhumaciones, en suma, volverán todos los males, según este torvo parecer.</w:t>
      </w:r>
    </w:p>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sz w:val="24"/>
          <w:szCs w:val="24"/>
          <w:lang w:eastAsia="es-PE"/>
        </w:rPr>
        <w:t xml:space="preserve">Por si fuera poco, la situación generada en el penal de </w:t>
      </w:r>
      <w:proofErr w:type="spellStart"/>
      <w:r w:rsidRPr="00984FFC">
        <w:rPr>
          <w:rFonts w:ascii="Times New Roman" w:eastAsia="Times New Roman" w:hAnsi="Times New Roman" w:cs="Times New Roman"/>
          <w:sz w:val="24"/>
          <w:szCs w:val="24"/>
          <w:lang w:eastAsia="es-PE"/>
        </w:rPr>
        <w:t>Yanamayo</w:t>
      </w:r>
      <w:proofErr w:type="spellEnd"/>
      <w:r w:rsidRPr="00984FFC">
        <w:rPr>
          <w:rFonts w:ascii="Times New Roman" w:eastAsia="Times New Roman" w:hAnsi="Times New Roman" w:cs="Times New Roman"/>
          <w:sz w:val="24"/>
          <w:szCs w:val="24"/>
          <w:lang w:eastAsia="es-PE"/>
        </w:rPr>
        <w:t xml:space="preserve"> en los últimos días, justamente por internos del MRTA, y el juicio a </w:t>
      </w:r>
      <w:proofErr w:type="spellStart"/>
      <w:r w:rsidRPr="00984FFC">
        <w:rPr>
          <w:rFonts w:ascii="Times New Roman" w:eastAsia="Times New Roman" w:hAnsi="Times New Roman" w:cs="Times New Roman"/>
          <w:sz w:val="24"/>
          <w:szCs w:val="24"/>
          <w:lang w:eastAsia="es-PE"/>
        </w:rPr>
        <w:t>Lori</w:t>
      </w:r>
      <w:proofErr w:type="spellEnd"/>
      <w:r w:rsidRPr="00984FFC">
        <w:rPr>
          <w:rFonts w:ascii="Times New Roman" w:eastAsia="Times New Roman" w:hAnsi="Times New Roman" w:cs="Times New Roman"/>
          <w:sz w:val="24"/>
          <w:szCs w:val="24"/>
          <w:lang w:eastAsia="es-PE"/>
        </w:rPr>
        <w:t xml:space="preserve"> </w:t>
      </w:r>
      <w:proofErr w:type="spellStart"/>
      <w:r w:rsidRPr="00984FFC">
        <w:rPr>
          <w:rFonts w:ascii="Times New Roman" w:eastAsia="Times New Roman" w:hAnsi="Times New Roman" w:cs="Times New Roman"/>
          <w:sz w:val="24"/>
          <w:szCs w:val="24"/>
          <w:lang w:eastAsia="es-PE"/>
        </w:rPr>
        <w:t>Berenson</w:t>
      </w:r>
      <w:proofErr w:type="spellEnd"/>
      <w:r w:rsidRPr="00984FFC">
        <w:rPr>
          <w:rFonts w:ascii="Times New Roman" w:eastAsia="Times New Roman" w:hAnsi="Times New Roman" w:cs="Times New Roman"/>
          <w:sz w:val="24"/>
          <w:szCs w:val="24"/>
          <w:lang w:eastAsia="es-PE"/>
        </w:rPr>
        <w:t xml:space="preserve"> (ver recuadro) han coronado un panorama en donde se agitan fantasmas y se pesca a río revuelto. Los subversivos, por ejemplo, quieren convertir las exhumaciones en pruebas consumadas y revivir un protagonismo extinguido.</w:t>
      </w:r>
    </w:p>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sz w:val="24"/>
          <w:szCs w:val="24"/>
          <w:lang w:eastAsia="es-PE"/>
        </w:rPr>
        <w:lastRenderedPageBreak/>
        <w:t>Pero el ministro de Justicia Diego García Sayán ha dicho ya que "no hay ningún ultimátum que escuchar", refiriéndose a la inaceptable exigencia, hecha por los subversivos, para que trasladen a algunos de sus presos a Lima. Ese mismo criterio, acaso, debería valer para todas las circunstancias que rodean a la espinosa investigación de lo ocurrido en abril de 1997.</w:t>
      </w:r>
    </w:p>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sz w:val="24"/>
          <w:szCs w:val="24"/>
          <w:lang w:eastAsia="es-PE"/>
        </w:rPr>
        <w:t xml:space="preserve">Nadie tiene derecho a exigir silencio, que no se sancione a los responsables si se comprueba que hubo ejecuciones, que se aplace hasta el infinito la investigación. Asimismo, nadie puede amenazar con "tirarse abajo </w:t>
      </w:r>
      <w:proofErr w:type="spellStart"/>
      <w:r w:rsidRPr="00984FFC">
        <w:rPr>
          <w:rFonts w:ascii="Times New Roman" w:eastAsia="Times New Roman" w:hAnsi="Times New Roman" w:cs="Times New Roman"/>
          <w:sz w:val="24"/>
          <w:szCs w:val="24"/>
          <w:lang w:eastAsia="es-PE"/>
        </w:rPr>
        <w:t>Yanamayo</w:t>
      </w:r>
      <w:proofErr w:type="spellEnd"/>
      <w:r w:rsidRPr="00984FFC">
        <w:rPr>
          <w:rFonts w:ascii="Times New Roman" w:eastAsia="Times New Roman" w:hAnsi="Times New Roman" w:cs="Times New Roman"/>
          <w:sz w:val="24"/>
          <w:szCs w:val="24"/>
          <w:lang w:eastAsia="es-PE"/>
        </w:rPr>
        <w:t>", como habría dicho Lucero Cumpa, menos aún si el MRTA más de una vez secuestró sin tiempo y sin compasión a algunos ciudadanos.</w:t>
      </w:r>
    </w:p>
    <w:p w:rsidR="00984FFC" w:rsidRPr="00984FFC" w:rsidRDefault="00984FFC" w:rsidP="00984FFC">
      <w:pPr>
        <w:spacing w:before="100" w:beforeAutospacing="1" w:after="100" w:afterAutospacing="1" w:line="240" w:lineRule="auto"/>
        <w:rPr>
          <w:rFonts w:ascii="Times New Roman" w:eastAsia="Times New Roman" w:hAnsi="Times New Roman" w:cs="Times New Roman"/>
          <w:sz w:val="24"/>
          <w:szCs w:val="24"/>
          <w:lang w:eastAsia="es-PE"/>
        </w:rPr>
      </w:pPr>
      <w:r w:rsidRPr="00984FFC">
        <w:rPr>
          <w:rFonts w:ascii="Times New Roman" w:eastAsia="Times New Roman" w:hAnsi="Times New Roman" w:cs="Times New Roman"/>
          <w:sz w:val="24"/>
          <w:szCs w:val="24"/>
          <w:lang w:eastAsia="es-PE"/>
        </w:rPr>
        <w:t>Si se trata de rescatar la verdad en medio de los escombros de un hecho terriblemente sangriento, los plazos perentorios, las amenazas, las extorsiones son un estorbo. Sólo en medio de una sana libertad se podrá ir develando qué pasó aquel 22 de abril de 1997 y si la muerte de "Tito" constituyó o no un ataque artero al deseo último de seguir viviendo</w:t>
      </w:r>
      <w:r w:rsidR="00AA2F51">
        <w:rPr>
          <w:rFonts w:ascii="Times New Roman" w:eastAsia="Times New Roman" w:hAnsi="Times New Roman" w:cs="Times New Roman"/>
          <w:sz w:val="24"/>
          <w:szCs w:val="24"/>
          <w:lang w:eastAsia="es-PE"/>
        </w:rPr>
        <w:t xml:space="preserve"> </w:t>
      </w:r>
      <w:r w:rsidRPr="00984FFC">
        <w:rPr>
          <w:rFonts w:ascii="Times New Roman" w:eastAsia="Times New Roman" w:hAnsi="Times New Roman" w:cs="Times New Roman"/>
          <w:b/>
          <w:bCs/>
          <w:sz w:val="24"/>
          <w:szCs w:val="24"/>
          <w:lang w:eastAsia="es-PE"/>
        </w:rPr>
        <w:t xml:space="preserve">(Ramiro Escobar y Paola </w:t>
      </w:r>
      <w:proofErr w:type="spellStart"/>
      <w:r w:rsidRPr="00984FFC">
        <w:rPr>
          <w:rFonts w:ascii="Times New Roman" w:eastAsia="Times New Roman" w:hAnsi="Times New Roman" w:cs="Times New Roman"/>
          <w:b/>
          <w:bCs/>
          <w:sz w:val="24"/>
          <w:szCs w:val="24"/>
          <w:lang w:eastAsia="es-PE"/>
        </w:rPr>
        <w:t>Ugaz</w:t>
      </w:r>
      <w:proofErr w:type="spellEnd"/>
      <w:r w:rsidRPr="00984FFC">
        <w:rPr>
          <w:rFonts w:ascii="Times New Roman" w:eastAsia="Times New Roman" w:hAnsi="Times New Roman" w:cs="Times New Roman"/>
          <w:b/>
          <w:bCs/>
          <w:sz w:val="24"/>
          <w:szCs w:val="24"/>
          <w:lang w:eastAsia="es-PE"/>
        </w:rPr>
        <w:t>).</w:t>
      </w:r>
      <w:bookmarkStart w:id="0" w:name="_GoBack"/>
      <w:bookmarkEnd w:id="0"/>
    </w:p>
    <w:sectPr w:rsidR="00984FFC" w:rsidRPr="00984F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FC"/>
    <w:rsid w:val="0052253F"/>
    <w:rsid w:val="00984FFC"/>
    <w:rsid w:val="00A960F6"/>
    <w:rsid w:val="00AA2F51"/>
    <w:rsid w:val="00D822A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0B0A8-C736-4018-8CA8-651AFBA8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4FFC"/>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984F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4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519619">
      <w:bodyDiv w:val="1"/>
      <w:marLeft w:val="0"/>
      <w:marRight w:val="0"/>
      <w:marTop w:val="0"/>
      <w:marBottom w:val="0"/>
      <w:divBdr>
        <w:top w:val="none" w:sz="0" w:space="0" w:color="auto"/>
        <w:left w:val="none" w:sz="0" w:space="0" w:color="auto"/>
        <w:bottom w:val="none" w:sz="0" w:space="0" w:color="auto"/>
        <w:right w:val="none" w:sz="0" w:space="0" w:color="auto"/>
      </w:divBdr>
    </w:div>
    <w:div w:id="205091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www.caretas.com.pe/2001/1662/web/tito/76-1.jpg"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jpeg"/><Relationship Id="rId5" Type="http://schemas.openxmlformats.org/officeDocument/2006/relationships/hyperlink" Target="http://www.caretas.com.pe/index.html" TargetMode="External"/><Relationship Id="rId15" Type="http://schemas.openxmlformats.org/officeDocument/2006/relationships/theme" Target="theme/theme1.xml"/><Relationship Id="rId10" Type="http://schemas.openxmlformats.org/officeDocument/2006/relationships/hyperlink" Target="http://www.caretas.com.pe/2001/1662/web/tito/77-1.jpg" TargetMode="External"/><Relationship Id="rId4" Type="http://schemas.openxmlformats.org/officeDocument/2006/relationships/image" Target="media/image1.gif"/><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7615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Ponce Rigau</dc:creator>
  <cp:lastModifiedBy>MANEL</cp:lastModifiedBy>
  <cp:revision>2</cp:revision>
  <cp:lastPrinted>2015-07-07T21:14:00Z</cp:lastPrinted>
  <dcterms:created xsi:type="dcterms:W3CDTF">2015-07-08T23:19:00Z</dcterms:created>
  <dcterms:modified xsi:type="dcterms:W3CDTF">2015-07-08T23:19:00Z</dcterms:modified>
</cp:coreProperties>
</file>